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056D6">
      <w:pPr>
        <w:jc w:val="center"/>
        <w:rPr>
          <w:rFonts w:hint="eastAsia"/>
          <w:b/>
          <w:bCs/>
          <w:sz w:val="40"/>
          <w:szCs w:val="40"/>
        </w:rPr>
      </w:pPr>
      <w:r>
        <w:rPr>
          <w:rFonts w:hint="eastAsia"/>
          <w:b/>
          <w:bCs/>
          <w:sz w:val="40"/>
          <w:szCs w:val="40"/>
        </w:rPr>
        <w:t>江西枫林涉外经贸职业学院</w:t>
      </w:r>
    </w:p>
    <w:p w14:paraId="6F0FC6CB">
      <w:pPr>
        <w:jc w:val="center"/>
        <w:rPr>
          <w:rFonts w:hint="eastAsia"/>
          <w:b/>
          <w:bCs/>
          <w:sz w:val="40"/>
          <w:szCs w:val="40"/>
        </w:rPr>
      </w:pPr>
      <w:r>
        <w:rPr>
          <w:rFonts w:hint="eastAsia"/>
          <w:b/>
          <w:bCs/>
          <w:sz w:val="40"/>
          <w:szCs w:val="40"/>
          <w:lang w:val="en-US" w:eastAsia="zh-CN"/>
        </w:rPr>
        <w:t>工业视觉实训室建设项目</w:t>
      </w:r>
      <w:r>
        <w:rPr>
          <w:rFonts w:hint="eastAsia"/>
          <w:b/>
          <w:bCs/>
          <w:sz w:val="40"/>
          <w:szCs w:val="40"/>
        </w:rPr>
        <w:t>招标公告</w:t>
      </w:r>
    </w:p>
    <w:p w14:paraId="7337B486">
      <w:pPr>
        <w:rPr>
          <w:rFonts w:hint="eastAsia"/>
        </w:rPr>
      </w:pPr>
    </w:p>
    <w:p w14:paraId="23E1CC2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Style w:val="11"/>
          <w:rFonts w:hint="eastAsia" w:ascii="仿宋" w:hAnsi="仿宋" w:eastAsia="仿宋" w:cs="仿宋"/>
          <w:i w:val="0"/>
          <w:iCs w:val="0"/>
          <w:caps w:val="0"/>
          <w:color w:val="333333"/>
          <w:spacing w:val="0"/>
          <w:sz w:val="28"/>
          <w:szCs w:val="28"/>
          <w:shd w:val="clear" w:fill="FFFFFF"/>
          <w:lang w:val="en-US" w:eastAsia="zh-CN"/>
        </w:rPr>
      </w:pPr>
      <w:r>
        <w:rPr>
          <w:rStyle w:val="11"/>
          <w:rFonts w:hint="eastAsia" w:ascii="仿宋" w:hAnsi="仿宋" w:eastAsia="仿宋" w:cs="仿宋"/>
          <w:i w:val="0"/>
          <w:iCs w:val="0"/>
          <w:caps w:val="0"/>
          <w:color w:val="333333"/>
          <w:spacing w:val="0"/>
          <w:sz w:val="28"/>
          <w:szCs w:val="28"/>
          <w:shd w:val="clear" w:fill="FFFFFF"/>
        </w:rPr>
        <w:t>招标编号：FL20</w:t>
      </w:r>
      <w:r>
        <w:rPr>
          <w:rStyle w:val="11"/>
          <w:rFonts w:hint="eastAsia" w:ascii="仿宋" w:hAnsi="仿宋" w:eastAsia="仿宋" w:cs="仿宋"/>
          <w:i w:val="0"/>
          <w:iCs w:val="0"/>
          <w:caps w:val="0"/>
          <w:color w:val="333333"/>
          <w:spacing w:val="0"/>
          <w:sz w:val="28"/>
          <w:szCs w:val="28"/>
          <w:shd w:val="clear" w:fill="FFFFFF"/>
          <w:lang w:val="en-US" w:eastAsia="zh-CN"/>
        </w:rPr>
        <w:t>250820</w:t>
      </w:r>
    </w:p>
    <w:p w14:paraId="3E441C0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根据《中华人民共和国招标投标法》以及有关法律法规，遵循公开、公平、公正和诚实信用的原则，江西枫林涉外经贸职业学院招标办公室受江西枫林涉外经贸职业学院委托，就该项目所需设备进行国内公开招标，欢迎有资质的企业前来参加投标。</w:t>
      </w:r>
    </w:p>
    <w:p w14:paraId="5519E6B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一、基本情况</w:t>
      </w:r>
    </w:p>
    <w:p w14:paraId="2FCA1D4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1.招标人：江西枫林涉外经贸职业学院。</w:t>
      </w:r>
    </w:p>
    <w:p w14:paraId="2C90273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2.项目地点：江西枫林涉外经贸职业学院位于江西省赣江新区永修组团。</w:t>
      </w:r>
    </w:p>
    <w:p w14:paraId="23E7896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3.项目简介：该项目</w:t>
      </w:r>
      <w:r>
        <w:rPr>
          <w:rFonts w:hint="eastAsia" w:ascii="仿宋" w:hAnsi="仿宋" w:eastAsia="仿宋" w:cs="仿宋"/>
          <w:i w:val="0"/>
          <w:iCs w:val="0"/>
          <w:caps w:val="0"/>
          <w:color w:val="333333"/>
          <w:spacing w:val="0"/>
          <w:sz w:val="28"/>
          <w:szCs w:val="28"/>
          <w:shd w:val="clear" w:fill="FFFFFF"/>
          <w:lang w:val="en-US" w:eastAsia="zh-CN"/>
        </w:rPr>
        <w:t>建设</w:t>
      </w:r>
      <w:r>
        <w:rPr>
          <w:rFonts w:hint="eastAsia" w:ascii="仿宋" w:hAnsi="仿宋" w:eastAsia="仿宋" w:cs="仿宋"/>
          <w:i w:val="0"/>
          <w:iCs w:val="0"/>
          <w:caps w:val="0"/>
          <w:color w:val="333333"/>
          <w:spacing w:val="0"/>
          <w:sz w:val="28"/>
          <w:szCs w:val="28"/>
          <w:shd w:val="clear" w:fill="FFFFFF"/>
        </w:rPr>
        <w:t>的专业实训设备将按照行业标准搭建实训平台，</w:t>
      </w:r>
      <w:r>
        <w:rPr>
          <w:rFonts w:hint="eastAsia" w:ascii="仿宋" w:hAnsi="仿宋" w:eastAsia="仿宋" w:cs="仿宋"/>
          <w:i w:val="0"/>
          <w:iCs w:val="0"/>
          <w:caps w:val="0"/>
          <w:color w:val="333333"/>
          <w:spacing w:val="0"/>
          <w:sz w:val="28"/>
          <w:szCs w:val="28"/>
          <w:shd w:val="clear" w:fill="FFFFFF"/>
          <w:lang w:val="en-US" w:eastAsia="zh-CN"/>
        </w:rPr>
        <w:t>模拟工业场景真实任务，助力学生实操掌握设备调试、程序编写等核心技能，打破理论实践壁垒，提升就业竞争力，为学校培养工业应用型人才提供硬件支撑。</w:t>
      </w:r>
    </w:p>
    <w:p w14:paraId="588E5B0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4.项目招标内容：</w:t>
      </w:r>
      <w:r>
        <w:rPr>
          <w:rFonts w:hint="eastAsia" w:ascii="仿宋" w:hAnsi="仿宋" w:eastAsia="仿宋" w:cs="仿宋"/>
          <w:i w:val="0"/>
          <w:iCs w:val="0"/>
          <w:caps w:val="0"/>
          <w:color w:val="333333"/>
          <w:spacing w:val="0"/>
          <w:sz w:val="28"/>
          <w:szCs w:val="28"/>
          <w:shd w:val="clear" w:fill="FFFFFF"/>
          <w:lang w:val="en-US" w:eastAsia="zh-CN"/>
        </w:rPr>
        <w:t>工业视觉实训室建设项目。</w:t>
      </w:r>
      <w:r>
        <w:rPr>
          <w:rFonts w:hint="eastAsia" w:ascii="仿宋" w:hAnsi="仿宋" w:eastAsia="仿宋" w:cs="仿宋"/>
          <w:i w:val="0"/>
          <w:iCs w:val="0"/>
          <w:caps w:val="0"/>
          <w:color w:val="333333"/>
          <w:spacing w:val="0"/>
          <w:sz w:val="28"/>
          <w:szCs w:val="28"/>
          <w:shd w:val="clear" w:fill="FFFFFF"/>
        </w:rPr>
        <w:t>（具体设备清单及参数详见招标文件）</w:t>
      </w:r>
    </w:p>
    <w:p w14:paraId="16EAECE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二、投标人资格要求</w:t>
      </w:r>
    </w:p>
    <w:p w14:paraId="3018192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1.投标人应具有投标项目的经营范围，请提供投标人合格有效的法人营业执照副本、税务登记证和组织代码证的复印件各一份。</w:t>
      </w:r>
    </w:p>
    <w:p w14:paraId="44BBD26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2.投标代表必须经投标人的法定代表人关于参与本项目投标的授权，请提供法定代表人授权投标代表的授权委托书原件（投标代表是法定代表人无需）。法定代表人和投标代表的身份证复印件一份。</w:t>
      </w:r>
    </w:p>
    <w:p w14:paraId="721E084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以上证件的复印件均须盖上单位公章进行扫描。</w:t>
      </w:r>
    </w:p>
    <w:p w14:paraId="64F98B7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3.投标人应具备相关法律法规、行政规章条例中规定的参加招标活动应当具备的条件。</w:t>
      </w:r>
    </w:p>
    <w:p w14:paraId="289D61F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4.本次招标不接受联合体投标，中标后不允许分包、转包。</w:t>
      </w:r>
    </w:p>
    <w:p w14:paraId="45B8467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5.投标人被“信用中国”网（https://www.creditchina.gov.cn/）列入失信被执行人和重大税收违法案件当事人名单的不能参加投标。</w:t>
      </w:r>
    </w:p>
    <w:p w14:paraId="26D5F00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lang w:val="en-US" w:eastAsia="zh-CN"/>
        </w:rPr>
        <w:t>6.标书公示网址：</w:t>
      </w:r>
      <w:r>
        <w:rPr>
          <w:rFonts w:hint="eastAsia" w:ascii="仿宋" w:hAnsi="仿宋" w:eastAsia="仿宋" w:cs="仿宋"/>
          <w:i w:val="0"/>
          <w:iCs w:val="0"/>
          <w:caps w:val="0"/>
          <w:color w:val="333333"/>
          <w:spacing w:val="0"/>
          <w:sz w:val="28"/>
          <w:szCs w:val="28"/>
          <w:shd w:val="clear" w:fill="FFFFFF"/>
          <w:lang w:val="en-US" w:eastAsia="zh-CN"/>
        </w:rPr>
        <w:fldChar w:fldCharType="begin"/>
      </w:r>
      <w:r>
        <w:rPr>
          <w:rFonts w:hint="eastAsia" w:ascii="仿宋" w:hAnsi="仿宋" w:eastAsia="仿宋" w:cs="仿宋"/>
          <w:i w:val="0"/>
          <w:iCs w:val="0"/>
          <w:caps w:val="0"/>
          <w:color w:val="333333"/>
          <w:spacing w:val="0"/>
          <w:sz w:val="28"/>
          <w:szCs w:val="28"/>
          <w:shd w:val="clear" w:fill="FFFFFF"/>
          <w:lang w:val="en-US" w:eastAsia="zh-CN"/>
        </w:rPr>
        <w:instrText xml:space="preserve"> HYPERLINK "https://yzzy.schoolpi.net/preview/385b" </w:instrText>
      </w:r>
      <w:r>
        <w:rPr>
          <w:rFonts w:hint="eastAsia" w:ascii="仿宋" w:hAnsi="仿宋" w:eastAsia="仿宋" w:cs="仿宋"/>
          <w:i w:val="0"/>
          <w:iCs w:val="0"/>
          <w:caps w:val="0"/>
          <w:color w:val="333333"/>
          <w:spacing w:val="0"/>
          <w:sz w:val="28"/>
          <w:szCs w:val="28"/>
          <w:shd w:val="clear" w:fill="FFFFFF"/>
          <w:lang w:val="en-US" w:eastAsia="zh-CN"/>
        </w:rPr>
        <w:fldChar w:fldCharType="separate"/>
      </w:r>
      <w:r>
        <w:rPr>
          <w:rFonts w:hint="eastAsia" w:ascii="仿宋" w:hAnsi="仿宋" w:eastAsia="仿宋" w:cs="仿宋"/>
          <w:i w:val="0"/>
          <w:iCs w:val="0"/>
          <w:caps w:val="0"/>
          <w:color w:val="333333"/>
          <w:spacing w:val="0"/>
          <w:sz w:val="28"/>
          <w:szCs w:val="28"/>
          <w:shd w:val="clear" w:fill="FFFFFF"/>
          <w:lang w:val="en-US" w:eastAsia="zh-CN"/>
        </w:rPr>
        <w:t>https://yzzy.schoolpi.net/preview/385b</w:t>
      </w:r>
      <w:r>
        <w:rPr>
          <w:rFonts w:hint="eastAsia" w:ascii="仿宋" w:hAnsi="仿宋" w:eastAsia="仿宋" w:cs="仿宋"/>
          <w:i w:val="0"/>
          <w:iCs w:val="0"/>
          <w:caps w:val="0"/>
          <w:color w:val="333333"/>
          <w:spacing w:val="0"/>
          <w:sz w:val="28"/>
          <w:szCs w:val="28"/>
          <w:shd w:val="clear" w:fill="FFFFFF"/>
          <w:lang w:val="en-US" w:eastAsia="zh-CN"/>
        </w:rPr>
        <w:fldChar w:fldCharType="end"/>
      </w:r>
      <w:r>
        <w:rPr>
          <w:rFonts w:hint="eastAsia" w:ascii="仿宋" w:hAnsi="仿宋" w:eastAsia="仿宋" w:cs="仿宋"/>
          <w:i w:val="0"/>
          <w:iCs w:val="0"/>
          <w:caps w:val="0"/>
          <w:color w:val="333333"/>
          <w:spacing w:val="0"/>
          <w:sz w:val="28"/>
          <w:szCs w:val="28"/>
          <w:shd w:val="clear" w:fill="FFFFFF"/>
          <w:lang w:val="en-US" w:eastAsia="zh-CN"/>
        </w:rPr>
        <w:t xml:space="preserve"> 769e-e562-431b-86a5-9a4c62967bb5。</w:t>
      </w:r>
    </w:p>
    <w:p w14:paraId="0294432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三、投标报名</w:t>
      </w:r>
    </w:p>
    <w:p w14:paraId="4836BC3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报名时间：202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8</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20</w:t>
      </w:r>
      <w:r>
        <w:rPr>
          <w:rFonts w:hint="eastAsia" w:ascii="仿宋" w:hAnsi="仿宋" w:eastAsia="仿宋" w:cs="仿宋"/>
          <w:i w:val="0"/>
          <w:iCs w:val="0"/>
          <w:caps w:val="0"/>
          <w:color w:val="333333"/>
          <w:spacing w:val="0"/>
          <w:sz w:val="28"/>
          <w:szCs w:val="28"/>
          <w:shd w:val="clear" w:fill="FFFFFF"/>
        </w:rPr>
        <w:t>日至</w:t>
      </w:r>
      <w:r>
        <w:rPr>
          <w:rFonts w:hint="eastAsia" w:ascii="仿宋" w:hAnsi="仿宋" w:eastAsia="仿宋" w:cs="仿宋"/>
          <w:i w:val="0"/>
          <w:iCs w:val="0"/>
          <w:caps w:val="0"/>
          <w:color w:val="333333"/>
          <w:spacing w:val="0"/>
          <w:sz w:val="28"/>
          <w:szCs w:val="28"/>
          <w:shd w:val="clear" w:fill="FFFFFF"/>
          <w:lang w:val="en-US" w:eastAsia="zh-CN"/>
        </w:rPr>
        <w:t>8</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26</w:t>
      </w:r>
      <w:r>
        <w:rPr>
          <w:rFonts w:hint="eastAsia" w:ascii="仿宋" w:hAnsi="仿宋" w:eastAsia="仿宋" w:cs="仿宋"/>
          <w:i w:val="0"/>
          <w:iCs w:val="0"/>
          <w:caps w:val="0"/>
          <w:color w:val="333333"/>
          <w:spacing w:val="0"/>
          <w:sz w:val="28"/>
          <w:szCs w:val="28"/>
          <w:shd w:val="clear" w:fill="FFFFFF"/>
        </w:rPr>
        <w:t>日</w:t>
      </w:r>
    </w:p>
    <w:p w14:paraId="47555D8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default"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递交投标文件时间：</w:t>
      </w:r>
      <w:r>
        <w:rPr>
          <w:rFonts w:hint="eastAsia" w:ascii="仿宋" w:hAnsi="仿宋" w:eastAsia="仿宋" w:cs="仿宋"/>
          <w:i w:val="0"/>
          <w:iCs w:val="0"/>
          <w:caps w:val="0"/>
          <w:color w:val="333333"/>
          <w:spacing w:val="0"/>
          <w:sz w:val="28"/>
          <w:szCs w:val="28"/>
          <w:shd w:val="clear" w:fill="FFFFFF"/>
        </w:rPr>
        <w:t>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8</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27</w:t>
      </w:r>
      <w:r>
        <w:rPr>
          <w:rFonts w:hint="eastAsia" w:ascii="仿宋" w:hAnsi="仿宋" w:eastAsia="仿宋" w:cs="仿宋"/>
          <w:i w:val="0"/>
          <w:iCs w:val="0"/>
          <w:caps w:val="0"/>
          <w:color w:val="333333"/>
          <w:spacing w:val="0"/>
          <w:sz w:val="28"/>
          <w:szCs w:val="28"/>
          <w:shd w:val="clear" w:fill="FFFFFF"/>
        </w:rPr>
        <w:t>日</w:t>
      </w:r>
      <w:r>
        <w:rPr>
          <w:rFonts w:hint="eastAsia" w:ascii="仿宋" w:hAnsi="仿宋" w:eastAsia="仿宋" w:cs="仿宋"/>
          <w:i w:val="0"/>
          <w:iCs w:val="0"/>
          <w:caps w:val="0"/>
          <w:color w:val="333333"/>
          <w:spacing w:val="0"/>
          <w:sz w:val="28"/>
          <w:szCs w:val="28"/>
          <w:shd w:val="clear" w:fill="FFFFFF"/>
          <w:lang w:val="en-US" w:eastAsia="zh-CN"/>
        </w:rPr>
        <w:t>至</w:t>
      </w:r>
      <w:r>
        <w:rPr>
          <w:rFonts w:hint="eastAsia" w:ascii="仿宋" w:hAnsi="仿宋" w:eastAsia="仿宋" w:cs="仿宋"/>
          <w:i w:val="0"/>
          <w:iCs w:val="0"/>
          <w:caps w:val="0"/>
          <w:color w:val="333333"/>
          <w:spacing w:val="0"/>
          <w:sz w:val="28"/>
          <w:szCs w:val="28"/>
          <w:shd w:val="clear" w:fill="FFFFFF"/>
        </w:rPr>
        <w:t>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9</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2日</w:t>
      </w:r>
    </w:p>
    <w:p w14:paraId="3FD11F5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lang w:val="en-US" w:eastAsia="zh-CN"/>
        </w:rPr>
        <w:t>开标时间：</w:t>
      </w:r>
      <w:r>
        <w:rPr>
          <w:rFonts w:hint="eastAsia" w:ascii="仿宋" w:hAnsi="仿宋" w:eastAsia="仿宋" w:cs="仿宋"/>
          <w:i w:val="0"/>
          <w:iCs w:val="0"/>
          <w:caps w:val="0"/>
          <w:color w:val="333333"/>
          <w:spacing w:val="0"/>
          <w:sz w:val="28"/>
          <w:szCs w:val="28"/>
          <w:shd w:val="clear" w:fill="FFFFFF"/>
        </w:rPr>
        <w:t>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9</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4</w:t>
      </w:r>
      <w:r>
        <w:rPr>
          <w:rFonts w:hint="eastAsia" w:ascii="仿宋" w:hAnsi="仿宋" w:eastAsia="仿宋" w:cs="仿宋"/>
          <w:i w:val="0"/>
          <w:iCs w:val="0"/>
          <w:caps w:val="0"/>
          <w:color w:val="333333"/>
          <w:spacing w:val="0"/>
          <w:sz w:val="28"/>
          <w:szCs w:val="28"/>
          <w:shd w:val="clear" w:fill="FFFFFF"/>
        </w:rPr>
        <w:t>日</w:t>
      </w:r>
    </w:p>
    <w:p w14:paraId="17BFEC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报名地点：江西枫林涉外经贸职业学院教学楼8308室</w:t>
      </w:r>
    </w:p>
    <w:p w14:paraId="4961C32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报名地点：江西枫林涉外经贸职业学院宁远楼宁远楼A301室</w:t>
      </w:r>
    </w:p>
    <w:p w14:paraId="27ED82C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报名联系人：陈永生</w:t>
      </w:r>
    </w:p>
    <w:p w14:paraId="4854B56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联系电话：13635970766</w:t>
      </w:r>
    </w:p>
    <w:p w14:paraId="51C4C2C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电子信箱：121697927@qq.com</w:t>
      </w:r>
    </w:p>
    <w:p w14:paraId="5B66674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Fonts w:hint="eastAsia" w:ascii="仿宋" w:hAnsi="仿宋" w:eastAsia="仿宋" w:cs="仿宋"/>
          <w:i w:val="0"/>
          <w:iCs w:val="0"/>
          <w:caps w:val="0"/>
          <w:color w:val="333333"/>
          <w:spacing w:val="0"/>
          <w:sz w:val="28"/>
          <w:szCs w:val="28"/>
          <w:shd w:val="clear" w:fill="FFFFFF"/>
        </w:rPr>
        <w:t>报名所需提交的资料至少包括：投标申请函、投标期间联系人和联系方式（至少包括手机、电子信箱）、法定代表人授权委托书、企业营业执照（副本）、及近1年完成的类似项目的设备供货业绩。</w:t>
      </w:r>
    </w:p>
    <w:p w14:paraId="4D6C2D4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上述资料发邮件至上述邮箱，逾期递交的资料不予接受。对于提供虚假资料的投标人，一经查明，取消其投标人资格。另，发邮件时主题务必写明所投项目名称，发邮件后可电话或信息形式进行确认，否则如有遗漏，后果自负；招标联系人及联系方式请留</w:t>
      </w:r>
      <w:r>
        <w:rPr>
          <w:rStyle w:val="11"/>
          <w:rFonts w:hint="eastAsia" w:ascii="仿宋" w:hAnsi="仿宋" w:eastAsia="仿宋" w:cs="仿宋"/>
          <w:i w:val="0"/>
          <w:iCs w:val="0"/>
          <w:caps w:val="0"/>
          <w:color w:val="333333"/>
          <w:spacing w:val="0"/>
          <w:sz w:val="28"/>
          <w:szCs w:val="28"/>
          <w:shd w:val="clear" w:fill="FFFFFF"/>
          <w:lang w:val="en-US" w:eastAsia="zh-CN"/>
        </w:rPr>
        <w:t>下</w:t>
      </w:r>
      <w:r>
        <w:rPr>
          <w:rStyle w:val="11"/>
          <w:rFonts w:hint="eastAsia" w:ascii="仿宋" w:hAnsi="仿宋" w:eastAsia="仿宋" w:cs="仿宋"/>
          <w:i w:val="0"/>
          <w:iCs w:val="0"/>
          <w:caps w:val="0"/>
          <w:color w:val="333333"/>
          <w:spacing w:val="0"/>
          <w:sz w:val="28"/>
          <w:szCs w:val="28"/>
          <w:shd w:val="clear" w:fill="FFFFFF"/>
        </w:rPr>
        <w:t>参与现场投标人的联系方式，以便后期项目各种事宜的联系沟通。</w:t>
      </w:r>
    </w:p>
    <w:p w14:paraId="2FA8885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i w:val="0"/>
          <w:iCs w:val="0"/>
          <w:caps w:val="0"/>
          <w:color w:val="333333"/>
          <w:spacing w:val="0"/>
          <w:sz w:val="28"/>
          <w:szCs w:val="28"/>
        </w:rPr>
      </w:pPr>
      <w:r>
        <w:rPr>
          <w:rStyle w:val="11"/>
          <w:rFonts w:hint="eastAsia" w:ascii="仿宋" w:hAnsi="仿宋" w:eastAsia="仿宋" w:cs="仿宋"/>
          <w:i w:val="0"/>
          <w:iCs w:val="0"/>
          <w:caps w:val="0"/>
          <w:color w:val="333333"/>
          <w:spacing w:val="0"/>
          <w:sz w:val="28"/>
          <w:szCs w:val="28"/>
          <w:shd w:val="clear" w:fill="FFFFFF"/>
        </w:rPr>
        <w:t>四、发售标书时间和地点</w:t>
      </w:r>
    </w:p>
    <w:p w14:paraId="63FB13F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仿宋" w:hAnsi="仿宋" w:eastAsia="仿宋" w:cs="仿宋"/>
          <w:sz w:val="28"/>
          <w:szCs w:val="28"/>
        </w:rPr>
      </w:pPr>
      <w:r>
        <w:rPr>
          <w:rFonts w:hint="eastAsia" w:ascii="仿宋" w:hAnsi="仿宋" w:eastAsia="仿宋" w:cs="仿宋"/>
          <w:i w:val="0"/>
          <w:iCs w:val="0"/>
          <w:caps w:val="0"/>
          <w:color w:val="333333"/>
          <w:spacing w:val="0"/>
          <w:sz w:val="28"/>
          <w:szCs w:val="28"/>
          <w:shd w:val="clear" w:fill="FFFFFF"/>
        </w:rPr>
        <w:t>招标人将告知投标人是否通过资格预审，对通过资格预审的投标人发售招标文件，时间和地点另行通知。</w:t>
      </w:r>
    </w:p>
    <w:p w14:paraId="2B7727F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6"/>
        <w:jc w:val="right"/>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江西枫林涉外经贸职业学院</w:t>
      </w:r>
    </w:p>
    <w:p w14:paraId="5746150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6"/>
        <w:jc w:val="center"/>
        <w:textAlignment w:val="auto"/>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 xml:space="preserve">                                       教务处</w:t>
      </w:r>
    </w:p>
    <w:p w14:paraId="269C092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6"/>
        <w:jc w:val="right"/>
        <w:textAlignment w:val="auto"/>
        <w:rPr>
          <w:rFonts w:hint="eastAsia" w:ascii="仿宋" w:hAnsi="仿宋" w:eastAsia="仿宋" w:cs="仿宋"/>
          <w:i w:val="0"/>
          <w:iCs w:val="0"/>
          <w:caps w:val="0"/>
          <w:color w:val="333333"/>
          <w:spacing w:val="0"/>
          <w:sz w:val="28"/>
          <w:szCs w:val="28"/>
          <w:shd w:val="clear" w:fill="FFFFFF"/>
        </w:rPr>
      </w:pPr>
      <w:r>
        <w:rPr>
          <w:rFonts w:hint="eastAsia" w:ascii="仿宋" w:hAnsi="仿宋" w:eastAsia="仿宋" w:cs="仿宋"/>
          <w:i w:val="0"/>
          <w:iCs w:val="0"/>
          <w:caps w:val="0"/>
          <w:color w:val="333333"/>
          <w:spacing w:val="0"/>
          <w:sz w:val="28"/>
          <w:szCs w:val="28"/>
          <w:shd w:val="clear" w:fill="FFFFFF"/>
        </w:rPr>
        <w:t>202</w:t>
      </w: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年</w:t>
      </w:r>
      <w:r>
        <w:rPr>
          <w:rFonts w:hint="eastAsia" w:ascii="仿宋" w:hAnsi="仿宋" w:eastAsia="仿宋" w:cs="仿宋"/>
          <w:i w:val="0"/>
          <w:iCs w:val="0"/>
          <w:caps w:val="0"/>
          <w:color w:val="333333"/>
          <w:spacing w:val="0"/>
          <w:sz w:val="28"/>
          <w:szCs w:val="28"/>
          <w:shd w:val="clear" w:fill="FFFFFF"/>
          <w:lang w:val="en-US" w:eastAsia="zh-CN"/>
        </w:rPr>
        <w:t>8</w:t>
      </w:r>
      <w:r>
        <w:rPr>
          <w:rFonts w:hint="eastAsia" w:ascii="仿宋" w:hAnsi="仿宋" w:eastAsia="仿宋" w:cs="仿宋"/>
          <w:i w:val="0"/>
          <w:iCs w:val="0"/>
          <w:caps w:val="0"/>
          <w:color w:val="333333"/>
          <w:spacing w:val="0"/>
          <w:sz w:val="28"/>
          <w:szCs w:val="28"/>
          <w:shd w:val="clear" w:fill="FFFFFF"/>
        </w:rPr>
        <w:t>月</w:t>
      </w:r>
      <w:r>
        <w:rPr>
          <w:rFonts w:hint="eastAsia" w:ascii="仿宋" w:hAnsi="仿宋" w:eastAsia="仿宋" w:cs="仿宋"/>
          <w:i w:val="0"/>
          <w:iCs w:val="0"/>
          <w:caps w:val="0"/>
          <w:color w:val="333333"/>
          <w:spacing w:val="0"/>
          <w:sz w:val="28"/>
          <w:szCs w:val="28"/>
          <w:shd w:val="clear" w:fill="FFFFFF"/>
          <w:lang w:val="en-US" w:eastAsia="zh-CN"/>
        </w:rPr>
        <w:t>19</w:t>
      </w:r>
      <w:r>
        <w:rPr>
          <w:rFonts w:hint="eastAsia" w:ascii="仿宋" w:hAnsi="仿宋" w:eastAsia="仿宋" w:cs="仿宋"/>
          <w:i w:val="0"/>
          <w:iCs w:val="0"/>
          <w:caps w:val="0"/>
          <w:color w:val="333333"/>
          <w:spacing w:val="0"/>
          <w:sz w:val="28"/>
          <w:szCs w:val="28"/>
          <w:shd w:val="clear" w:fill="FFFFFF"/>
        </w:rPr>
        <w:t>日</w:t>
      </w:r>
    </w:p>
    <w:p w14:paraId="69958ED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646"/>
        <w:jc w:val="center"/>
        <w:textAlignment w:val="auto"/>
        <w:rPr>
          <w:rFonts w:hint="eastAsia" w:ascii="仿宋" w:hAnsi="仿宋" w:eastAsia="仿宋" w:cs="仿宋"/>
          <w:i w:val="0"/>
          <w:iCs w:val="0"/>
          <w:caps w:val="0"/>
          <w:color w:val="333333"/>
          <w:spacing w:val="0"/>
          <w:sz w:val="28"/>
          <w:szCs w:val="28"/>
          <w:shd w:val="clear" w:fill="FFFFFF"/>
        </w:rPr>
        <w:sectPr>
          <w:pgSz w:w="11906" w:h="16838"/>
          <w:pgMar w:top="1157" w:right="1746" w:bottom="1157" w:left="1746" w:header="851" w:footer="992" w:gutter="0"/>
          <w:cols w:space="425" w:num="1"/>
          <w:docGrid w:type="lines" w:linePitch="312" w:charSpace="0"/>
        </w:sectPr>
      </w:pPr>
    </w:p>
    <w:p w14:paraId="36FF880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jc w:val="both"/>
        <w:textAlignment w:val="auto"/>
        <w:rPr>
          <w:rFonts w:hint="eastAsia" w:ascii="仿宋" w:hAnsi="仿宋" w:eastAsia="仿宋" w:cs="仿宋"/>
          <w:i w:val="0"/>
          <w:iCs w:val="0"/>
          <w:caps w:val="0"/>
          <w:color w:val="333333"/>
          <w:spacing w:val="0"/>
          <w:sz w:val="24"/>
          <w:szCs w:val="24"/>
          <w:shd w:val="clear" w:fill="FFFFFF"/>
          <w:lang w:val="en-US" w:eastAsia="zh-CN"/>
        </w:rPr>
      </w:pPr>
      <w:r>
        <w:rPr>
          <w:rFonts w:hint="eastAsia" w:ascii="仿宋" w:hAnsi="仿宋" w:eastAsia="仿宋" w:cs="仿宋"/>
          <w:i w:val="0"/>
          <w:iCs w:val="0"/>
          <w:caps w:val="0"/>
          <w:color w:val="333333"/>
          <w:spacing w:val="0"/>
          <w:sz w:val="24"/>
          <w:szCs w:val="24"/>
          <w:shd w:val="clear" w:fill="FFFFFF"/>
          <w:lang w:val="en-US" w:eastAsia="zh-CN"/>
        </w:rPr>
        <w:t>附件：</w:t>
      </w:r>
      <w:bookmarkStart w:id="0" w:name="_GoBack"/>
      <w:bookmarkEnd w:id="0"/>
    </w:p>
    <w:p w14:paraId="7B36262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仿宋" w:hAnsi="仿宋" w:eastAsia="仿宋" w:cs="仿宋"/>
          <w:b/>
          <w:sz w:val="28"/>
          <w:szCs w:val="28"/>
        </w:rPr>
      </w:pPr>
      <w:r>
        <w:rPr>
          <w:rFonts w:hint="eastAsia" w:ascii="仿宋" w:hAnsi="仿宋" w:eastAsia="仿宋" w:cs="仿宋"/>
          <w:b/>
          <w:sz w:val="28"/>
          <w:szCs w:val="28"/>
        </w:rPr>
        <w:t>工业视觉实训室建设主要组成及功能参数</w:t>
      </w:r>
    </w:p>
    <w:p w14:paraId="1337200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jc w:val="center"/>
        <w:textAlignment w:val="auto"/>
        <w:rPr>
          <w:rFonts w:hint="eastAsia" w:ascii="仿宋" w:hAnsi="仿宋" w:eastAsia="仿宋" w:cs="仿宋"/>
          <w:b/>
          <w:sz w:val="28"/>
          <w:szCs w:val="28"/>
        </w:rPr>
      </w:pPr>
    </w:p>
    <w:p w14:paraId="7F9137E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jc w:val="both"/>
        <w:textAlignment w:val="auto"/>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第一模块：机器视觉系统应用综合实训平台</w:t>
      </w:r>
    </w:p>
    <w:p w14:paraId="02C01993">
      <w:pPr>
        <w:pStyle w:val="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jc w:val="left"/>
        <w:textAlignment w:val="auto"/>
        <w:rPr>
          <w:rFonts w:hint="eastAsia" w:ascii="仿宋" w:hAnsi="仿宋" w:eastAsia="仿宋" w:cs="仿宋"/>
          <w:b/>
          <w:sz w:val="28"/>
          <w:szCs w:val="28"/>
        </w:rPr>
      </w:pPr>
      <w:r>
        <w:rPr>
          <w:rFonts w:hint="eastAsia" w:ascii="仿宋" w:hAnsi="仿宋" w:eastAsia="仿宋" w:cs="仿宋"/>
          <w:b/>
          <w:sz w:val="28"/>
          <w:szCs w:val="28"/>
        </w:rPr>
        <w:t>实训机台：</w:t>
      </w:r>
    </w:p>
    <w:p w14:paraId="377F75E9">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rPr>
      </w:pPr>
      <w:r>
        <w:rPr>
          <w:rFonts w:hint="eastAsia"/>
          <w:lang w:val="en-US" w:eastAsia="zh-CN"/>
        </w:rPr>
        <w:t>1.</w:t>
      </w:r>
      <w:r>
        <w:rPr>
          <w:rFonts w:hint="eastAsia"/>
        </w:rPr>
        <w:t>实训机台包含XYZ三轴直线运动模组、电控板、报警灯、按钮盒、视觉安装夹具、产品托盘、光幕保护传感器、工控机、显示器等。</w:t>
      </w:r>
    </w:p>
    <w:p w14:paraId="6F582DE9">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rPr>
      </w:pPr>
      <w:r>
        <w:rPr>
          <w:rFonts w:hint="eastAsia"/>
          <w:lang w:val="en-US" w:eastAsia="zh-CN"/>
        </w:rPr>
        <w:t>2.</w:t>
      </w:r>
      <w:r>
        <w:rPr>
          <w:rFonts w:hint="eastAsia"/>
        </w:rPr>
        <w:t>设备要求结构紧凑，集成度高，不含显示器设备尺寸不大于700mm（宽）*650mm（深）*1500mm（高），平台行程：XY轴不小于200mm，Z轴不小于50mm，Z轴可以连续回转。平台运动精度高，XY轴的电机须采用闭环电机，Z轴的电机需要带刹车，XYZ重复精度优于±0.0</w:t>
      </w:r>
      <w:r>
        <w:rPr>
          <w:rFonts w:hint="eastAsia"/>
          <w:lang w:val="en-US" w:eastAsia="zh-CN"/>
        </w:rPr>
        <w:t>2</w:t>
      </w:r>
      <w:r>
        <w:rPr>
          <w:rFonts w:hint="eastAsia"/>
        </w:rPr>
        <w:t>mm。</w:t>
      </w:r>
    </w:p>
    <w:p w14:paraId="02B2AFD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rPr>
      </w:pPr>
      <w:r>
        <w:rPr>
          <w:rFonts w:hint="eastAsia"/>
          <w:lang w:val="en-US" w:eastAsia="zh-CN"/>
        </w:rPr>
        <w:t>3.</w:t>
      </w:r>
      <w:r>
        <w:rPr>
          <w:rFonts w:hint="eastAsia"/>
        </w:rPr>
        <w:t>视觉器件安装拥有良好的兼容性，能够快速安装多种类相机，包含面阵相机、线阵相机、双目3D相机、线激光3D相机等，同时相机有多个安装位置和姿态，可以安装在Z轴上，也可以安装在固定支架上；也能够快速安装多种类光源，包含环形、同轴和背光源等，可调节的安装支架需有刻度标识。</w:t>
      </w:r>
    </w:p>
    <w:p w14:paraId="7F4ACE98">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rPr>
      </w:pPr>
      <w:r>
        <w:rPr>
          <w:rFonts w:hint="eastAsia"/>
          <w:lang w:val="en-US" w:eastAsia="zh-CN"/>
        </w:rPr>
        <w:t>4.</w:t>
      </w:r>
      <w:r>
        <w:rPr>
          <w:rFonts w:hint="eastAsia"/>
        </w:rPr>
        <w:t>实训平台三方向采用半透明亚克力封闭，正面开口安装光幕保护传感器，同时相机安装的上面可安装可调节的遮光板。</w:t>
      </w:r>
    </w:p>
    <w:p w14:paraId="6E632193">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rPr>
      </w:pPr>
      <w:r>
        <w:rPr>
          <w:rFonts w:hint="eastAsia"/>
          <w:lang w:val="en-US" w:eastAsia="zh-CN"/>
        </w:rPr>
        <w:t>5.</w:t>
      </w:r>
      <w:r>
        <w:rPr>
          <w:rFonts w:hint="eastAsia"/>
        </w:rPr>
        <w:t>平台电控板主要包含漏电保护、PLC、通讯扩展、直线电源和电机驱动器等，运动部分采用PLC进行控制，并通过上位机完成通讯，可支持任意曲线插补，也可以扩展运动控制卡。</w:t>
      </w:r>
    </w:p>
    <w:p w14:paraId="4D191AFE">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rPr>
      </w:pPr>
      <w:r>
        <w:rPr>
          <w:rFonts w:hint="eastAsia"/>
          <w:lang w:val="en-US" w:eastAsia="zh-CN"/>
        </w:rPr>
        <w:t>6.</w:t>
      </w:r>
      <w:r>
        <w:rPr>
          <w:rFonts w:hint="eastAsia"/>
        </w:rPr>
        <w:t>Z轴固定板尺寸不小于120x80mm，上面均布阵列排列的螺丝孔，搭配使用具有良好的灵活性，能够安装旋转轴（旋转轴末端可以配套不同尺寸吸盘），能够安装各种相机和视觉光源，用户也能够扩展其他执行装置（比如螺丝批、涂胶针筒等）。</w:t>
      </w:r>
    </w:p>
    <w:p w14:paraId="5A030B0F">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rPr>
      </w:pPr>
      <w:r>
        <w:rPr>
          <w:rFonts w:hint="eastAsia"/>
          <w:lang w:val="en-US" w:eastAsia="zh-CN"/>
        </w:rPr>
        <w:t>7.</w:t>
      </w:r>
      <w:r>
        <w:rPr>
          <w:rFonts w:hint="eastAsia"/>
        </w:rPr>
        <w:t>实训机台功能分区，上方为操作区域，下方为电控柜及收纳区，下方包含透明窗口的电气柜、工控机柜、键鼠抽屉、收纳抽屉等，实验所需的输入/输出接口均布置在平台上方面板上，方便动手操作，包含双色报警灯、真空开关接口、光源控制、旋转轴电机信号、相机供电、USB3.0及GigE相机输出、通用IO等。同时配套按钮盒，能够进行设备上电、急停以及XY轴的四向摇杆手动控制；</w:t>
      </w:r>
    </w:p>
    <w:p w14:paraId="68570CF2">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rPr>
      </w:pPr>
      <w:r>
        <w:rPr>
          <w:rFonts w:hint="eastAsia"/>
          <w:lang w:val="en-US" w:eastAsia="zh-CN"/>
        </w:rPr>
        <w:t>8.</w:t>
      </w:r>
      <w:r>
        <w:rPr>
          <w:rFonts w:hint="eastAsia"/>
        </w:rPr>
        <w:t>采用一线品牌高性能机器视觉专用工控机，性能不低于i5四核CPU、8G内存和120GSSD硬盘，自带不少于4个千兆网口，支持POE；不少于4个USB3.0口；带不少于4个PCI或PCIe的扩展槽，能够安装运动控制卡；显示器尺寸不小于22寸，带液压万向调节支架。</w:t>
      </w:r>
    </w:p>
    <w:p w14:paraId="53F452C3">
      <w:pPr>
        <w:pStyle w:val="5"/>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sz w:val="28"/>
          <w:szCs w:val="28"/>
        </w:rPr>
      </w:pPr>
      <w:r>
        <w:rPr>
          <w:rFonts w:hint="eastAsia" w:cs="仿宋"/>
          <w:b/>
          <w:sz w:val="28"/>
          <w:szCs w:val="28"/>
          <w:lang w:val="en-US" w:eastAsia="zh-CN"/>
        </w:rPr>
        <w:t>二、</w:t>
      </w:r>
      <w:r>
        <w:rPr>
          <w:rFonts w:hint="eastAsia" w:ascii="仿宋" w:hAnsi="仿宋" w:eastAsia="仿宋" w:cs="仿宋"/>
          <w:b/>
          <w:sz w:val="28"/>
          <w:szCs w:val="28"/>
        </w:rPr>
        <w:t>视觉器件箱</w:t>
      </w:r>
    </w:p>
    <w:p w14:paraId="7435E1E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器件箱相机套件包含不少于3台2D相机和1台3D相机。其中一台高速2D相机分辨率不低于1280x960像素，采用全局快门黑白CMOS芯片，芯片尺寸不小于1/3”,帧率不低于90fps，采用USB3.0接口；一台高分辨率黑白2D相机分辨率不低于2448x2048像素，采用全局快门CMOS芯片，芯片尺寸不小于2/3”,帧率不低于20fps；一台彩色2D相机分辨率不低于2500x1940像素，采用滚动快门CMOS芯片，芯片尺寸不小于1/2.5”,帧率不低于14fps；2D相机均兼容GigE VISION或USB3 VISION协议，并支持GenlCam标准；网口相机支持POE供电，支持宽压供电，符合CE，FCC,UL,ROHS认证。3D相机采用一体式封装，外形不大于180x100x60mm，自带红外结构光源和白色LED光源，两个相机分辨率不低于1920x1080像素，视场角大于80°x56°，最小工作距离350mm，深度测量重复精度优于2mm@WD&lt;600mm，测量距离以内可以进行3D标定、3D匹配、3D体积测量等实验，能实现基于双目特征的匹配和基于立体模式的匹配。</w:t>
      </w:r>
    </w:p>
    <w:p w14:paraId="40F879A6">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器件箱镜头套件包含不少于3个不同焦距的定焦镜头和1个双远心镜头，定焦镜头焦距焦距至少包含12mm、25和35mm，光圈不小于F2.8；双远心镜头，0.3X放大倍率，工作距离约110mm，景深不小于±2.5mm@F5.6，镜头光学畸变优于0.02%，远心度优于0.04%，外形尺寸不大于Φ60×120mm；所有镜头均支持500万及以上像素，支持2/3英寸及以上相机成像芯片；配套一组镜头接圈，包含1、2、5、10、20、40mm，并配套与定焦镜头匹配的偏振镜和镜头清洁布等。</w:t>
      </w:r>
    </w:p>
    <w:p w14:paraId="7431D898">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3.器件箱光源套件包含不少于三个环形光源、1个同轴光源和1个背光源，三个环形光源其中一个小号环形为直射环形光源，发光面外径不小于80mm，内径不小于40mm，采用RGB LED灯珠，同时光源配有外螺纹，能够直径拧在配套的定焦镜头上；中号环形为45度环形光源，发光面外径不小于120mm，内径不小于80mm，LED颜色为绿色；大号环形光源为低角度照明方式，发光面外径不小于155mm，内径不小于120mm，LED颜色为蓝色，以上三个环形光源可以组合成1个AOI光源；同轴照明光源采用RGB LED灯珠，发光面积不小于60x60mm；背光源为白色平行光，采用底部贴片LED，光源均匀度高于90%，发光面大于165x140mm，带正向固定孔。</w:t>
      </w:r>
    </w:p>
    <w:p w14:paraId="5329CFC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4.配套实训需要的多种图案标定板，标定板尺寸与治具尺寸兼容，图案精度优于±0.02mm，包含透明和漫射两种材质。</w:t>
      </w:r>
    </w:p>
    <w:p w14:paraId="7A16CFE3">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器件箱内还应包含多台相机安装的快换板和连接件，并配套所有相机、光源配套的数据线、电源线和延长线等，箱内缓冲泡沫需按物品形状一对应设计，并编号与机台对应。投标需要提供器件箱内的3D布局图或实物照片。</w:t>
      </w:r>
    </w:p>
    <w:p w14:paraId="06CB3466">
      <w:pPr>
        <w:pStyle w:val="5"/>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sz w:val="28"/>
          <w:szCs w:val="28"/>
        </w:rPr>
      </w:pPr>
      <w:r>
        <w:rPr>
          <w:rFonts w:hint="eastAsia" w:cs="仿宋"/>
          <w:b/>
          <w:sz w:val="28"/>
          <w:szCs w:val="28"/>
          <w:lang w:val="en-US" w:eastAsia="zh-CN"/>
        </w:rPr>
        <w:t>三、工具</w:t>
      </w:r>
      <w:r>
        <w:rPr>
          <w:rFonts w:hint="eastAsia" w:ascii="仿宋" w:hAnsi="仿宋" w:eastAsia="仿宋" w:cs="仿宋"/>
          <w:b/>
          <w:sz w:val="28"/>
          <w:szCs w:val="28"/>
        </w:rPr>
        <w:t>箱</w:t>
      </w:r>
    </w:p>
    <w:p w14:paraId="6195379A">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1.工具箱用于机器视觉应用实训安装、接线所需的必要工具，包含外置θ轴、多个光源固定件、AOI光源连接件、相机高度升降件、常用螺丝、机械工具、电气工具等。</w:t>
      </w:r>
    </w:p>
    <w:p w14:paraId="6FA77B7F">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2.外置θ轴采用中空旋转电机，重复精度优于±1.0°，能够方便的固定在Z轴固定板上，前端的吸嘴也可以根据实验样品大小进行更换。</w:t>
      </w:r>
    </w:p>
    <w:p w14:paraId="20D0E713">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3.机械工具包含六角扳手、十字和一字螺丝刀、斜口钳、直尺和轧带等。</w:t>
      </w:r>
    </w:p>
    <w:p w14:paraId="14C02E33">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4.电气工具包含万用表、真空发生器、气管、6mm、8mm和10mm备用吸嘴等。</w:t>
      </w:r>
    </w:p>
    <w:p w14:paraId="7CE7AD69">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5.工具箱的外形尺寸与器件箱相同，箱内缓冲泡沫需按物品形状一对应设计，并编号与机台对应。</w:t>
      </w:r>
    </w:p>
    <w:p w14:paraId="0D34C6D1">
      <w:pPr>
        <w:pStyle w:val="5"/>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cs="宋体"/>
          <w:b/>
          <w:bCs/>
          <w:kern w:val="20"/>
          <w:sz w:val="24"/>
          <w:szCs w:val="24"/>
        </w:rPr>
      </w:pPr>
      <w:r>
        <w:rPr>
          <w:rFonts w:hint="eastAsia" w:ascii="宋体" w:hAnsi="宋体" w:cs="宋体"/>
          <w:b/>
          <w:bCs/>
          <w:kern w:val="20"/>
          <w:sz w:val="24"/>
          <w:szCs w:val="24"/>
          <w:lang w:val="en-US" w:eastAsia="zh-CN"/>
        </w:rPr>
        <w:t>四、</w:t>
      </w:r>
      <w:r>
        <w:rPr>
          <w:rFonts w:hint="eastAsia" w:ascii="宋体" w:hAnsi="宋体" w:cs="宋体"/>
          <w:b/>
          <w:bCs/>
          <w:kern w:val="20"/>
          <w:sz w:val="24"/>
          <w:szCs w:val="24"/>
        </w:rPr>
        <w:t>视觉软件参数</w:t>
      </w:r>
    </w:p>
    <w:p w14:paraId="5FE6A7F5">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（1）设备配套的软件提供机器视觉应用图形化编程和代码编程两种编程模式，图形化编程要求通俗易懂，采用拖拽式流程框图定义流程；代码编程提供基于VB.net\C#等多种语言的例程。</w:t>
      </w:r>
    </w:p>
    <w:p w14:paraId="340D8321">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（2）支持多项目同步运行，支持多用户模式，软件可以在独立的笔记本运行，网络端用户可以获取对应IP地址机台上的图片。</w:t>
      </w:r>
    </w:p>
    <w:p w14:paraId="2EAC5CBA">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（3）提供机器视觉应用图形化编程至少包含常用图像处理、运动控制和外部通讯工具，包括3D标定、3D定位、3D测量、AOI检测等多种高级算子，提供API，支持二次开发。</w:t>
      </w:r>
    </w:p>
    <w:p w14:paraId="13F598FA">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（4）机器视觉应用图形化编程软件的2D相机工具至少包含有图像预处理、无/正反检测、颜色/位置判断、定位、尺寸测量、ID识别、字符识别、缺陷检测等工具。</w:t>
      </w:r>
    </w:p>
    <w:p w14:paraId="4F183890">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机器视觉应用图形化编程软件的3D相机工具支持多种不同类型3D相机（包含TOF、线激光、双目结构光、扫描振镜等），软件工具包含3D标定、3D定位、3D测量等，可实现双目3D匹配和点云3D匹配，并可以实现三维测量和三维姿态跟踪等实验，并配套相应的教学资源。</w:t>
      </w:r>
    </w:p>
    <w:p w14:paraId="05C14C82">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（6）软件除了支持常见品牌的2D相机和3D相机之外，也具有外部接口，支持常见品牌的PLC、运动控制卡和工业机器人，也支持常见的激光振镜控制。</w:t>
      </w:r>
    </w:p>
    <w:p w14:paraId="5F0374A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（7）软件支持单相机及多相机对位，支持XYθ、XYY、UVW、SCARA等多种平台类型。</w:t>
      </w:r>
    </w:p>
    <w:p w14:paraId="395B5D2B">
      <w:pPr>
        <w:rPr>
          <w:rFonts w:hint="eastAsia"/>
          <w:lang w:val="en-US" w:eastAsia="zh-CN"/>
        </w:rPr>
      </w:pPr>
      <w:r>
        <w:rPr>
          <w:rFonts w:hint="eastAsia"/>
          <w:lang w:val="en-US" w:eastAsia="zh-CN"/>
        </w:rPr>
        <w:br w:type="page"/>
      </w:r>
    </w:p>
    <w:p w14:paraId="3EB0C3D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jc w:val="both"/>
        <w:textAlignment w:val="auto"/>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第二模块：工业大数据实训平台</w:t>
      </w:r>
    </w:p>
    <w:p w14:paraId="75F2BE6B">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一、工业环境检测模块</w:t>
      </w:r>
    </w:p>
    <w:p w14:paraId="6AFBE6C0">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1.空气质量传感器×1，带有RS485接口的空气质量传感器，检测PM2.5及PM10的浓度。</w:t>
      </w:r>
    </w:p>
    <w:p w14:paraId="3A171434">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2.噪音传感器×1，带有RS-485接口的噪音传感器，检测噪音值大小。</w:t>
      </w:r>
    </w:p>
    <w:p w14:paraId="145EBA0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3.智能单相电表×1，AC220V、导轨安装、段码LCD显示，有功电能0.01kwh，单位自动切换，小数点自动移位，带有功计量、无功计量、485通讯、功率因数、电能、功率、电流、频率等实时显示。</w:t>
      </w:r>
    </w:p>
    <w:p w14:paraId="320EFFB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4.光照度温湿度传感器×1，带有0-20mA电流型模拟量输出的空气质量传感器，检测实时光照强度。温度检测范围-40~80°，湿度检测范围0~100%。</w:t>
      </w:r>
    </w:p>
    <w:p w14:paraId="6E8AD72A">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5.一氧化碳气体传感器×1，带有0-20mA电流型模拟量输出的一氧化碳气体传感器，检测实时一氧化碳气体浓度。</w:t>
      </w:r>
    </w:p>
    <w:p w14:paraId="7EC7BF3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6.智能语音控制模块×1，智能语音单元含485语音模块、无源喇叭、安装外壳，可通过RS485串口通信的方式实现智能语音输出，支持MODBUS-RTU通信协议。</w:t>
      </w:r>
    </w:p>
    <w:p w14:paraId="431025F6">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二、电机振动检测模块</w:t>
      </w:r>
    </w:p>
    <w:p w14:paraId="5985FB3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电机：</w:t>
      </w:r>
    </w:p>
    <w:p w14:paraId="0C380053">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（1）电动机额定功率：60W；</w:t>
      </w:r>
    </w:p>
    <w:p w14:paraId="5B712A85">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（2）电动机额定电压：220V；</w:t>
      </w:r>
    </w:p>
    <w:p w14:paraId="1F791D44">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（3）减速比：不小于20:1；</w:t>
      </w:r>
    </w:p>
    <w:p w14:paraId="0B75921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（4）采用低损耗矽钢片及精密一体冲压技术精度高，导磁性好声音小，运行平稳；</w:t>
      </w:r>
    </w:p>
    <w:p w14:paraId="1643BCA1">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（5）高强度合金压铸一体成型并采用高精度自动数控车床加工而成，产品结构精密，适应承受大力矩和冲击负载</w:t>
      </w:r>
    </w:p>
    <w:p w14:paraId="414CEE4B">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（6）安装方式：卧式</w:t>
      </w:r>
    </w:p>
    <w:p w14:paraId="77C6A48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（7）散热风扇：电子尾部内置风扇，运行温度低，噪音小。</w:t>
      </w:r>
    </w:p>
    <w:p w14:paraId="4D00154B">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温振传感器：</w:t>
      </w:r>
    </w:p>
    <w:p w14:paraId="14723E7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（1）传感器类别：振动与冲击传感器 </w:t>
      </w:r>
    </w:p>
    <w:p w14:paraId="26B1F542">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（2）工作电压：10V~30V</w:t>
      </w:r>
    </w:p>
    <w:p w14:paraId="2496C0B6">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（3）安装方式：磁吸</w:t>
      </w:r>
    </w:p>
    <w:p w14:paraId="492D8E0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（4）输出信号：RS485</w:t>
      </w:r>
    </w:p>
    <w:p w14:paraId="0C60608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（5）振动测量方向：单轴</w:t>
      </w:r>
    </w:p>
    <w:p w14:paraId="33228C00">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（6）振动频率范围：10-1600HZ</w:t>
      </w:r>
    </w:p>
    <w:p w14:paraId="7E830468">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（7）测量要素：温度、位移、振动速度、尤加速度</w:t>
      </w:r>
    </w:p>
    <w:p w14:paraId="0050929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（8）应用领域：广泛应用在煤矿、化工、冶金、发电等行业的电机减速机、风机、发电机、空压机、离心机、水泵等旋转设备温度和振动的在线测量。</w:t>
      </w:r>
    </w:p>
    <w:p w14:paraId="33D6DDF0">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（9）震动速度：毫秒级</w:t>
      </w:r>
    </w:p>
    <w:p w14:paraId="68D4E0C4">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（10）测量精度：±1.5%</w:t>
      </w:r>
    </w:p>
    <w:p w14:paraId="791C2A40">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（11）振动位移：0~5000um</w:t>
      </w:r>
    </w:p>
    <w:p w14:paraId="107666F6">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（12）外壳整体采用不锈钢材质，耐高温，防锈耐腐蚀使用寿命更长</w:t>
      </w:r>
    </w:p>
    <w:p w14:paraId="1245360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三、综合控制模块</w:t>
      </w:r>
    </w:p>
    <w:p w14:paraId="043652A2">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1.CPU：不小于75KB工作存储器；24VDC电源供电；板载4个高速计数器（可通过数字量信号板扩展）和4路脉冲输出；信号板扩展板载I/O；多达3个用于串行通信的通信模块；多达2个用于I/O扩展的信号模块。</w:t>
      </w:r>
    </w:p>
    <w:p w14:paraId="330CCB26">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2.RS485通信板：带有RS-485接口的通信板、接线盒。</w:t>
      </w:r>
    </w:p>
    <w:p w14:paraId="0CDA306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3.RS422/RS485通信模块：带有RS422/RS485接口的通信模块。</w:t>
      </w:r>
    </w:p>
    <w:p w14:paraId="29805AE1">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4.数字量输入输出模块：数字量I/O模块，不少于8路DI输入端、不少于8路DQ输出端；插入式端子排。</w:t>
      </w:r>
    </w:p>
    <w:p w14:paraId="3C2B33B1">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5.按钮指示灯模块：24V按钮指示灯不少于4个，急停开关不少于1个。</w:t>
      </w:r>
    </w:p>
    <w:p w14:paraId="606AF1DA">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6.综合控制台架：尺寸≥H700*W600*D500；空气开关≥1个；220V-24V电源模块≥1个。</w:t>
      </w:r>
    </w:p>
    <w:p w14:paraId="437314C4">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四、激光雕刻模块</w:t>
      </w:r>
    </w:p>
    <w:p w14:paraId="645F266B">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（1）供电电压:12V DC</w:t>
      </w:r>
    </w:p>
    <w:p w14:paraId="2B198C8F">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（2）控制接口:PWM/TTL</w:t>
      </w:r>
    </w:p>
    <w:p w14:paraId="335D5C06">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（3）信号控制功率驱动方式:外置ACC恒流驱动</w:t>
      </w:r>
    </w:p>
    <w:p w14:paraId="5C69E8A5">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（4）激光波长:445nm(蓝光)</w:t>
      </w:r>
    </w:p>
    <w:p w14:paraId="6637351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（5）光斑形状:点状式(蓝光)</w:t>
      </w:r>
    </w:p>
    <w:p w14:paraId="117B7F49">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（6）激光功率:500mw(光功率)/2.5w(光功率)/20w电功率30w电功率/40W电功率/60W电功率</w:t>
      </w:r>
    </w:p>
    <w:p w14:paraId="1C4D7AF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（7）外壳材质:铝表面阳极黑色</w:t>
      </w:r>
    </w:p>
    <w:p w14:paraId="54200F48">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（8）光学部分:光学玻璃镀膜</w:t>
      </w:r>
    </w:p>
    <w:p w14:paraId="5DDE0A72">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（9）模组材质:铜</w:t>
      </w:r>
    </w:p>
    <w:p w14:paraId="7CB3402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（10）散热方式:强制风冷</w:t>
      </w:r>
    </w:p>
    <w:p w14:paraId="0B98BD9A">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（11）激光雕刻耗材：数量：100张；材质：铝合金；</w:t>
      </w:r>
    </w:p>
    <w:p w14:paraId="2E11A41A">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五、大模型工作站</w:t>
      </w:r>
    </w:p>
    <w:p w14:paraId="553389E5">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（1）CPU：I5 12400 6核12线程</w:t>
      </w:r>
    </w:p>
    <w:p w14:paraId="0767DF73">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（2）内存：DDR4 3200 16G</w:t>
      </w:r>
    </w:p>
    <w:p w14:paraId="36F4068F">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（3）显卡：3060 12G</w:t>
      </w:r>
    </w:p>
    <w:p w14:paraId="5540D74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（4）固态："TiPlus7100 1TB M.2 2280 NVMe PCle4.0 固态硬盘"</w:t>
      </w:r>
    </w:p>
    <w:p w14:paraId="2AA25C1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（5）机箱</w:t>
      </w:r>
    </w:p>
    <w:p w14:paraId="5B4231E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（6）电源：650W</w:t>
      </w:r>
    </w:p>
    <w:p w14:paraId="45999D4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（7）显示：24寸液晶显示屏</w:t>
      </w:r>
    </w:p>
    <w:p w14:paraId="634CF51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（8）部署本地大语言模型教程</w:t>
      </w:r>
    </w:p>
    <w:p w14:paraId="1A6419FA">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（9）教学案例：</w:t>
      </w:r>
    </w:p>
    <w:p w14:paraId="0D454764">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①本地化RAG知识库提供支持；</w:t>
      </w:r>
    </w:p>
    <w:p w14:paraId="35D08A51">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②图片识别测试；</w:t>
      </w:r>
    </w:p>
    <w:p w14:paraId="1C5707BD">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③语言模型代码示例和结果展示；</w:t>
      </w:r>
    </w:p>
    <w:p w14:paraId="721AB0A4">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④大模型提示词工程</w:t>
      </w:r>
    </w:p>
    <w:p w14:paraId="4DAF6B99">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⑤大模型微调与效果验证；</w:t>
      </w:r>
    </w:p>
    <w:p w14:paraId="1A4ED426">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⑥提供部署源码教程；</w:t>
      </w:r>
    </w:p>
    <w:p w14:paraId="64F3F24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六、工业大数据软件</w:t>
      </w:r>
    </w:p>
    <w:p w14:paraId="2D303CAC">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1.数据存储与可视化：依据采集到的数据进行数据库的规划与设计，将采集的数据进行可视化显示，如散点图、折线图、柱状图等。</w:t>
      </w:r>
    </w:p>
    <w:p w14:paraId="5F1BE056">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2.工业数据清洗：利用生成的散点图、折线图等清洗数据库中明显异常的干扰数据和无效数据。</w:t>
      </w:r>
    </w:p>
    <w:p w14:paraId="0F201719">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3.工业数据分析：</w:t>
      </w:r>
    </w:p>
    <w:p w14:paraId="5CB65CB8">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1）多维度数据分析：设备、车间、工厂、供应链及环境，分析是否会危害操作人员健康；</w:t>
      </w:r>
    </w:p>
    <w:p w14:paraId="090CBE1E">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2）智能分析：通过加工振动的数据及时得到设备是否正常运行。</w:t>
      </w:r>
    </w:p>
    <w:p w14:paraId="17631AE7">
      <w:pPr>
        <w:pStyle w:val="5"/>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lang w:val="en-US" w:eastAsia="zh-CN"/>
        </w:rPr>
      </w:pPr>
      <w:r>
        <w:rPr>
          <w:rFonts w:hint="eastAsia"/>
          <w:lang w:val="en-US" w:eastAsia="zh-CN"/>
        </w:rPr>
        <w:t>4.预测性设备故障诊断与报警：根据输出的智能分析结果以及环境状态、设备状态、折线图、散点图等，预测出可能会发生故障的位置以及需要维护的时间点，并输出自然语音报警提示工作人员进行维修与检查。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JMKFG P+ Futura">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23624"/>
    <w:multiLevelType w:val="singleLevel"/>
    <w:tmpl w:val="EFF2362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M2Q0YTkwMmZlNmYxMWRlODIxNzBjYTM2YzE2NTAifQ=="/>
    <w:docVar w:name="KSO_WPS_MARK_KEY" w:val="25fea961-b97b-4101-94e5-a06fc9ada455"/>
  </w:docVars>
  <w:rsids>
    <w:rsidRoot w:val="768077D0"/>
    <w:rsid w:val="01B841E6"/>
    <w:rsid w:val="050B5E6B"/>
    <w:rsid w:val="09E92ED1"/>
    <w:rsid w:val="0DBD4932"/>
    <w:rsid w:val="136613EF"/>
    <w:rsid w:val="14D013EF"/>
    <w:rsid w:val="182932F0"/>
    <w:rsid w:val="195865DD"/>
    <w:rsid w:val="1A707A6D"/>
    <w:rsid w:val="1B2020B5"/>
    <w:rsid w:val="21333432"/>
    <w:rsid w:val="2EC21951"/>
    <w:rsid w:val="380D48C3"/>
    <w:rsid w:val="38DA0CBA"/>
    <w:rsid w:val="3AF07E0D"/>
    <w:rsid w:val="3F3058F5"/>
    <w:rsid w:val="456B36B8"/>
    <w:rsid w:val="45EA5BC6"/>
    <w:rsid w:val="495B1666"/>
    <w:rsid w:val="4A77154E"/>
    <w:rsid w:val="4BB8782F"/>
    <w:rsid w:val="4C067FC2"/>
    <w:rsid w:val="4CF04A45"/>
    <w:rsid w:val="4D744B18"/>
    <w:rsid w:val="4FBB7FCB"/>
    <w:rsid w:val="53F05F28"/>
    <w:rsid w:val="54062197"/>
    <w:rsid w:val="59D40607"/>
    <w:rsid w:val="5B6F5357"/>
    <w:rsid w:val="5BE45D53"/>
    <w:rsid w:val="5C9E0EBB"/>
    <w:rsid w:val="5F8E3006"/>
    <w:rsid w:val="61B9080E"/>
    <w:rsid w:val="61E04C4E"/>
    <w:rsid w:val="6F3F394C"/>
    <w:rsid w:val="7294672D"/>
    <w:rsid w:val="748E7260"/>
    <w:rsid w:val="75646842"/>
    <w:rsid w:val="757629DA"/>
    <w:rsid w:val="768077D0"/>
    <w:rsid w:val="772E5E9B"/>
    <w:rsid w:val="7EA94DB4"/>
    <w:rsid w:val="7FE64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630"/>
    </w:pPr>
    <w:rPr>
      <w:rFonts w:ascii="Times New Roman" w:hAnsi="Times New Roman"/>
      <w:sz w:val="32"/>
      <w:szCs w:val="20"/>
    </w:rPr>
  </w:style>
  <w:style w:type="paragraph" w:styleId="4">
    <w:name w:val="Normal Indent"/>
    <w:basedOn w:val="1"/>
    <w:qFormat/>
    <w:uiPriority w:val="99"/>
    <w:pPr>
      <w:ind w:firstLine="420"/>
    </w:pPr>
    <w:rPr>
      <w:szCs w:val="20"/>
    </w:rPr>
  </w:style>
  <w:style w:type="paragraph" w:styleId="5">
    <w:name w:val="Body Text"/>
    <w:basedOn w:val="1"/>
    <w:qFormat/>
    <w:uiPriority w:val="0"/>
    <w:rPr>
      <w:rFonts w:ascii="仿宋" w:hAnsi="仿宋" w:eastAsia="仿宋" w:cs="仿宋"/>
      <w:sz w:val="28"/>
      <w:szCs w:val="28"/>
      <w:lang w:val="en-US" w:eastAsia="en-US" w:bidi="ar-SA"/>
    </w:rPr>
  </w:style>
  <w:style w:type="paragraph" w:styleId="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basedOn w:val="10"/>
    <w:uiPriority w:val="0"/>
    <w:rPr>
      <w:color w:val="0000FF"/>
      <w:u w:val="single"/>
    </w:rPr>
  </w:style>
  <w:style w:type="paragraph" w:styleId="13">
    <w:name w:val="List Paragraph"/>
    <w:basedOn w:val="1"/>
    <w:qFormat/>
    <w:uiPriority w:val="34"/>
    <w:pPr>
      <w:ind w:firstLine="480"/>
    </w:pPr>
  </w:style>
  <w:style w:type="paragraph" w:customStyle="1" w:styleId="14">
    <w:name w:val="Default"/>
    <w:qFormat/>
    <w:uiPriority w:val="99"/>
    <w:pPr>
      <w:widowControl w:val="0"/>
      <w:autoSpaceDE w:val="0"/>
      <w:autoSpaceDN w:val="0"/>
      <w:adjustRightInd w:val="0"/>
    </w:pPr>
    <w:rPr>
      <w:rFonts w:ascii="JMKFG P+ Futura" w:hAnsi="等线" w:eastAsia="JMKFG P+ Futura" w:cs="JMKFG P+ Futura"/>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5214</Words>
  <Characters>6025</Characters>
  <Lines>0</Lines>
  <Paragraphs>0</Paragraphs>
  <TotalTime>30</TotalTime>
  <ScaleCrop>false</ScaleCrop>
  <LinksUpToDate>false</LinksUpToDate>
  <CharactersWithSpaces>6081</CharactersWithSpaces>
  <Application>WPS Office_12.1.0.19768_F1E327BC-269C-435d-A152-05C5408002CA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2023-03-08T01:09:00Z</dcterms:created>
  <dc:creator>豆豆香</dc:creator>
  <cp:lastModifiedBy>Aria</cp:lastModifiedBy>
  <cp:lastPrinted>2024-10-22T08:48:00Z</cp:lastPrinted>
  <dcterms:modified xsi:type="dcterms:W3CDTF">2025-09-11T12:12:29Z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2052-12.1.0.19768</vt:lpwstr>
  </property>
  <property fmtid="{D5CDD505-2E9C-101B-9397-08002B2CF9AE}" pid="3" name="ICV">
    <vt:lpwstr>CD880CE878344C88B482F88AE7E0652D_13</vt:lpwstr>
  </property>
  <property fmtid="{D5CDD505-2E9C-101B-9397-08002B2CF9AE}" pid="4" name="KSOTemplateDocerSaveRecord">
    <vt:lpwstr>eyJoZGlkIjoiZWVkODEzMTkzODg3YjA0YzIxMWYxMTAzMDVkMTc5ZDYiLCJ1c2VySWQiOiI2OTQyMDcxNzEifQ==</vt:lpwstr>
  </property>
</Properties>
</file>